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74FF" w14:textId="31AF640F" w:rsidR="00F56E34" w:rsidRPr="00572D7D" w:rsidRDefault="00F56E34" w:rsidP="0044151A">
      <w:pPr>
        <w:pStyle w:val="Heading1"/>
        <w:jc w:val="center"/>
        <w:rPr>
          <w:color w:val="auto"/>
        </w:rPr>
      </w:pPr>
      <w:bookmarkStart w:id="0" w:name="_Hlk511992135"/>
      <w:r w:rsidRPr="00572D7D">
        <w:rPr>
          <w:color w:val="auto"/>
        </w:rPr>
        <w:t>Contract Amendments</w:t>
      </w:r>
      <w:r w:rsidR="00F66DB9" w:rsidRPr="00572D7D">
        <w:rPr>
          <w:color w:val="auto"/>
        </w:rPr>
        <w:t xml:space="preserve"> and </w:t>
      </w:r>
      <w:r w:rsidRPr="00572D7D">
        <w:rPr>
          <w:color w:val="auto"/>
        </w:rPr>
        <w:t xml:space="preserve">Terms </w:t>
      </w:r>
    </w:p>
    <w:p w14:paraId="6FB94595" w14:textId="32CE8341" w:rsidR="00EC4BD5" w:rsidRPr="00572D7D" w:rsidRDefault="00EC4BD5" w:rsidP="00EC4BD5">
      <w:r w:rsidRPr="00572D7D">
        <w:t xml:space="preserve">Between </w:t>
      </w:r>
    </w:p>
    <w:p w14:paraId="309B6F0C" w14:textId="361867B4" w:rsidR="00F56E34" w:rsidRPr="00572D7D" w:rsidRDefault="00EC4BD5" w:rsidP="00F56E34">
      <w:r w:rsidRPr="00572D7D">
        <w:t>IFAC Ltd and its associated group companies, including IFAC Finance Ltd, Broker Admin Technolog</w:t>
      </w:r>
      <w:r w:rsidR="00305EB1" w:rsidRPr="00572D7D">
        <w:t>y</w:t>
      </w:r>
      <w:r w:rsidRPr="00572D7D">
        <w:t xml:space="preserve"> Ltd and </w:t>
      </w:r>
      <w:proofErr w:type="spellStart"/>
      <w:r w:rsidRPr="00572D7D">
        <w:t>IFACredit</w:t>
      </w:r>
      <w:proofErr w:type="spellEnd"/>
      <w:r w:rsidRPr="00572D7D">
        <w:t xml:space="preserve"> Ltd</w:t>
      </w:r>
      <w:r w:rsidR="005A6831" w:rsidRPr="00572D7D">
        <w:t xml:space="preserve"> and their successors in business, </w:t>
      </w:r>
      <w:r w:rsidRPr="00572D7D">
        <w:t>hereinafter called "IFAC"</w:t>
      </w:r>
    </w:p>
    <w:p w14:paraId="5231651A" w14:textId="2163A5E5" w:rsidR="00EC4BD5" w:rsidRPr="00572D7D" w:rsidRDefault="00EC4BD5" w:rsidP="00F56E34">
      <w:r w:rsidRPr="00572D7D">
        <w:t>and</w:t>
      </w:r>
    </w:p>
    <w:p w14:paraId="1482CA61" w14:textId="2A44545A" w:rsidR="00EC4BD5" w:rsidRPr="00572D7D" w:rsidRDefault="002E147A" w:rsidP="00F56E34">
      <w:pPr>
        <w:rPr>
          <w:b/>
          <w:i/>
        </w:rPr>
      </w:pPr>
      <w:proofErr w:type="spellStart"/>
      <w:r>
        <w:rPr>
          <w:b/>
          <w:i/>
        </w:rPr>
        <w:t>Yourfirmname</w:t>
      </w:r>
      <w:proofErr w:type="spellEnd"/>
    </w:p>
    <w:p w14:paraId="5900115F" w14:textId="5A7B7259" w:rsidR="00EC4BD5" w:rsidRPr="00572D7D" w:rsidRDefault="00DF62A9" w:rsidP="00F56E34">
      <w:r w:rsidRPr="00572D7D">
        <w:t>whereas</w:t>
      </w:r>
    </w:p>
    <w:p w14:paraId="2E978880" w14:textId="2A208B71" w:rsidR="00EC4BD5" w:rsidRPr="00572D7D" w:rsidRDefault="002E147A" w:rsidP="00F56E34">
      <w:pPr>
        <w:pStyle w:val="Heading2"/>
        <w:ind w:left="360"/>
        <w:rPr>
          <w:color w:val="auto"/>
          <w:sz w:val="24"/>
          <w:szCs w:val="24"/>
        </w:rPr>
      </w:pPr>
      <w:bookmarkStart w:id="1" w:name="_GoBack"/>
      <w:bookmarkEnd w:id="1"/>
      <w:r>
        <w:rPr>
          <w:b/>
          <w:i/>
          <w:color w:val="auto"/>
        </w:rPr>
        <w:t>Yourfirmname</w:t>
      </w:r>
      <w:r w:rsidR="00EC4BD5" w:rsidRPr="00572D7D">
        <w:rPr>
          <w:b/>
          <w:i/>
          <w:color w:val="auto"/>
        </w:rPr>
        <w:t xml:space="preserve"> </w:t>
      </w:r>
      <w:r w:rsidR="00F56E34" w:rsidRPr="00572D7D">
        <w:rPr>
          <w:color w:val="auto"/>
          <w:sz w:val="24"/>
          <w:szCs w:val="24"/>
        </w:rPr>
        <w:t>(as processors) are already in a business relationship</w:t>
      </w:r>
      <w:r w:rsidR="00EC4BD5" w:rsidRPr="00572D7D">
        <w:rPr>
          <w:color w:val="auto"/>
          <w:sz w:val="24"/>
          <w:szCs w:val="24"/>
        </w:rPr>
        <w:t xml:space="preserve"> with IFAC</w:t>
      </w:r>
      <w:r w:rsidR="00DF62A9" w:rsidRPr="00572D7D">
        <w:rPr>
          <w:color w:val="auto"/>
          <w:sz w:val="24"/>
          <w:szCs w:val="24"/>
        </w:rPr>
        <w:t xml:space="preserve"> who is a controller of data.  </w:t>
      </w:r>
      <w:r w:rsidR="00EC4BD5" w:rsidRPr="00572D7D">
        <w:rPr>
          <w:color w:val="auto"/>
          <w:sz w:val="24"/>
          <w:szCs w:val="24"/>
        </w:rPr>
        <w:t xml:space="preserve"> </w:t>
      </w:r>
    </w:p>
    <w:p w14:paraId="146B4909" w14:textId="77777777" w:rsidR="00DF62A9" w:rsidRPr="00572D7D" w:rsidRDefault="00DF62A9" w:rsidP="00DF62A9"/>
    <w:p w14:paraId="4A7FC878" w14:textId="64AA1E15" w:rsidR="00F56E34" w:rsidRPr="00572D7D" w:rsidRDefault="00DF62A9" w:rsidP="00F56E34">
      <w:pPr>
        <w:pStyle w:val="Heading2"/>
        <w:ind w:left="360"/>
        <w:rPr>
          <w:color w:val="auto"/>
          <w:sz w:val="24"/>
          <w:szCs w:val="24"/>
        </w:rPr>
      </w:pPr>
      <w:r w:rsidRPr="00572D7D">
        <w:rPr>
          <w:color w:val="auto"/>
          <w:sz w:val="24"/>
          <w:szCs w:val="24"/>
        </w:rPr>
        <w:t xml:space="preserve">IFAC hereby </w:t>
      </w:r>
      <w:r w:rsidR="00F56E34" w:rsidRPr="00572D7D">
        <w:rPr>
          <w:color w:val="auto"/>
          <w:sz w:val="24"/>
          <w:szCs w:val="24"/>
        </w:rPr>
        <w:t xml:space="preserve">alert </w:t>
      </w:r>
      <w:proofErr w:type="spellStart"/>
      <w:r w:rsidR="002E147A">
        <w:rPr>
          <w:b/>
          <w:i/>
          <w:color w:val="auto"/>
        </w:rPr>
        <w:t>Yourfirmname</w:t>
      </w:r>
      <w:proofErr w:type="spellEnd"/>
      <w:r w:rsidRPr="00572D7D">
        <w:rPr>
          <w:b/>
          <w:i/>
          <w:color w:val="auto"/>
        </w:rPr>
        <w:t xml:space="preserve"> </w:t>
      </w:r>
      <w:r w:rsidR="00F56E34" w:rsidRPr="00572D7D">
        <w:rPr>
          <w:color w:val="auto"/>
          <w:sz w:val="24"/>
          <w:szCs w:val="24"/>
        </w:rPr>
        <w:t>of updates to your agreement as follows:</w:t>
      </w:r>
    </w:p>
    <w:p w14:paraId="7DD0DF0C" w14:textId="5109DBC6" w:rsidR="00F56E34" w:rsidRPr="00572D7D" w:rsidRDefault="00F56E34" w:rsidP="00F56E34"/>
    <w:p w14:paraId="5F5AAE3F" w14:textId="159C8B76" w:rsidR="00F56E34" w:rsidRPr="00572D7D" w:rsidRDefault="00A56E79" w:rsidP="00F56E34">
      <w:r w:rsidRPr="00572D7D">
        <w:t>Contractual Commitments for GDPR</w:t>
      </w:r>
    </w:p>
    <w:p w14:paraId="25A02F77" w14:textId="55182BE6" w:rsidR="00A56E79" w:rsidRPr="00572D7D" w:rsidRDefault="004F1A72" w:rsidP="00102396">
      <w:pPr>
        <w:pStyle w:val="ListParagraph"/>
        <w:numPr>
          <w:ilvl w:val="0"/>
          <w:numId w:val="2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730931" w:rsidRPr="00572D7D">
        <w:t xml:space="preserve">and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A56E79" w:rsidRPr="00572D7D">
        <w:t>will comply with the General Data Protection</w:t>
      </w:r>
      <w:r w:rsidR="008D15A8" w:rsidRPr="00572D7D">
        <w:t xml:space="preserve"> Regulation</w:t>
      </w:r>
      <w:r w:rsidR="00A56E79" w:rsidRPr="00572D7D">
        <w:t xml:space="preserve"> </w:t>
      </w:r>
      <w:r w:rsidR="008D15A8" w:rsidRPr="00572D7D">
        <w:t xml:space="preserve">(GDPR) </w:t>
      </w:r>
      <w:r w:rsidR="00A56E79" w:rsidRPr="00572D7D">
        <w:t xml:space="preserve">and any related national legislation (‘Data Protection Legislation’) applicable to any personal data processed as part of the </w:t>
      </w:r>
      <w:r w:rsidR="00D3425F" w:rsidRPr="00572D7D">
        <w:t xml:space="preserve">products and </w:t>
      </w:r>
      <w:r w:rsidR="00A56E79" w:rsidRPr="00572D7D">
        <w:t xml:space="preserve">services you receive from us. </w:t>
      </w:r>
      <w:r w:rsidR="00DF62A9" w:rsidRPr="00572D7D">
        <w:t>IFAC</w:t>
      </w:r>
      <w:r w:rsidR="00A56E79" w:rsidRPr="00572D7D">
        <w:t xml:space="preserve"> may process </w:t>
      </w:r>
      <w:r w:rsidR="008D15A8" w:rsidRPr="00572D7D">
        <w:t>p</w:t>
      </w:r>
      <w:r w:rsidR="00A56E79" w:rsidRPr="00572D7D">
        <w:t xml:space="preserve">ersonal data in connection with the provision of the services </w:t>
      </w:r>
      <w:r w:rsidR="00D3425F" w:rsidRPr="00572D7D">
        <w:t xml:space="preserve">and products </w:t>
      </w:r>
      <w:r w:rsidR="00A56E79" w:rsidRPr="00572D7D">
        <w:t>and in accordance with the law.</w:t>
      </w:r>
    </w:p>
    <w:p w14:paraId="6C07ABE5" w14:textId="4243F3BD" w:rsidR="00A56E79" w:rsidRPr="00572D7D" w:rsidRDefault="00D3425F" w:rsidP="00102396">
      <w:pPr>
        <w:pStyle w:val="ListParagraph"/>
        <w:numPr>
          <w:ilvl w:val="0"/>
          <w:numId w:val="2"/>
        </w:numPr>
      </w:pPr>
      <w:r w:rsidRPr="00572D7D">
        <w:t xml:space="preserve">Where </w:t>
      </w:r>
      <w:r w:rsidR="004F1A72"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Pr="00572D7D">
        <w:t xml:space="preserve">process data supplied by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Pr="00572D7D">
        <w:t xml:space="preserve">in relation to the products and services </w:t>
      </w:r>
      <w:r w:rsidR="004F1A72"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DF62A9" w:rsidRPr="00572D7D">
        <w:t>agree</w:t>
      </w:r>
      <w:r w:rsidRPr="00572D7D">
        <w:t xml:space="preserve"> as your Processor (as defined by the ‘Data Protection Legislation’)</w:t>
      </w:r>
      <w:r w:rsidR="00DF62A9" w:rsidRPr="00572D7D">
        <w:t xml:space="preserve"> the following:</w:t>
      </w:r>
    </w:p>
    <w:p w14:paraId="332C79DE" w14:textId="77777777" w:rsidR="00DF62A9" w:rsidRPr="00572D7D" w:rsidRDefault="00DF62A9" w:rsidP="00DF62A9">
      <w:pPr>
        <w:pStyle w:val="ListParagraph"/>
      </w:pPr>
    </w:p>
    <w:p w14:paraId="07220DCC" w14:textId="1A7229A3" w:rsidR="00CD1451" w:rsidRPr="00572D7D" w:rsidRDefault="00855C8E" w:rsidP="00AC3CD5">
      <w:pPr>
        <w:pStyle w:val="ListParagraph"/>
        <w:numPr>
          <w:ilvl w:val="2"/>
          <w:numId w:val="3"/>
        </w:numPr>
      </w:pPr>
      <w:r w:rsidRPr="00572D7D">
        <w:t>T</w:t>
      </w:r>
      <w:r w:rsidR="00D3425F" w:rsidRPr="00572D7D">
        <w:t>he</w:t>
      </w:r>
      <w:r w:rsidRPr="00572D7D">
        <w:t xml:space="preserve"> subject matter, nature, purpose and duration of the supplied </w:t>
      </w:r>
      <w:r w:rsidR="008D15A8" w:rsidRPr="00572D7D">
        <w:t>p</w:t>
      </w:r>
      <w:r w:rsidRPr="00572D7D">
        <w:t xml:space="preserve">ersonal </w:t>
      </w:r>
      <w:r w:rsidR="008D15A8" w:rsidRPr="00572D7D">
        <w:t>d</w:t>
      </w:r>
      <w:r w:rsidRPr="00572D7D">
        <w:t>ata processing</w:t>
      </w:r>
      <w:r w:rsidR="00100759" w:rsidRPr="00572D7D">
        <w:t xml:space="preserve"> is for </w:t>
      </w:r>
      <w:r w:rsidR="00684309" w:rsidRPr="00572D7D">
        <w:rPr>
          <w:i/>
        </w:rPr>
        <w:t xml:space="preserve">compliance related activities including file checking, audit purposes, Professional Indemnity insurance renewal and claim related assistance, FCA licence activities and data returns, paraplanning, HR recruitment, </w:t>
      </w:r>
      <w:r w:rsidR="00F66DB9" w:rsidRPr="00572D7D">
        <w:rPr>
          <w:i/>
        </w:rPr>
        <w:t>m</w:t>
      </w:r>
      <w:r w:rsidR="00684309" w:rsidRPr="00572D7D">
        <w:rPr>
          <w:i/>
        </w:rPr>
        <w:t xml:space="preserve">ergers and </w:t>
      </w:r>
      <w:r w:rsidR="00F66DB9" w:rsidRPr="00572D7D">
        <w:rPr>
          <w:i/>
        </w:rPr>
        <w:t>a</w:t>
      </w:r>
      <w:r w:rsidR="00684309" w:rsidRPr="00572D7D">
        <w:rPr>
          <w:i/>
        </w:rPr>
        <w:t xml:space="preserve">cquisitions work, </w:t>
      </w:r>
      <w:r w:rsidR="00F66DB9" w:rsidRPr="00572D7D">
        <w:rPr>
          <w:i/>
        </w:rPr>
        <w:t>web-development, locum activities, research and accounting advice</w:t>
      </w:r>
      <w:r w:rsidR="00305EB1" w:rsidRPr="00572D7D">
        <w:rPr>
          <w:i/>
        </w:rPr>
        <w:t>, GDPR microsite and the IFAC proprietary client management system currently known as BAT.</w:t>
      </w:r>
    </w:p>
    <w:p w14:paraId="3ACF9495" w14:textId="46FCB4F6" w:rsidR="00BA7EC1" w:rsidRPr="00572D7D" w:rsidRDefault="004F1A72" w:rsidP="00BA7EC1">
      <w:pPr>
        <w:pStyle w:val="ListParagraph"/>
        <w:numPr>
          <w:ilvl w:val="2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100759" w:rsidRPr="00572D7D">
        <w:t xml:space="preserve">will only process the </w:t>
      </w:r>
      <w:r w:rsidR="008D15A8" w:rsidRPr="00572D7D">
        <w:t>s</w:t>
      </w:r>
      <w:r w:rsidR="00100759" w:rsidRPr="00572D7D">
        <w:t xml:space="preserve">upplied </w:t>
      </w:r>
      <w:r w:rsidR="008D15A8" w:rsidRPr="00572D7D">
        <w:t>p</w:t>
      </w:r>
      <w:r w:rsidR="00100759" w:rsidRPr="00572D7D">
        <w:t xml:space="preserve">ersonal </w:t>
      </w:r>
      <w:r w:rsidR="008D15A8" w:rsidRPr="00572D7D">
        <w:t>d</w:t>
      </w:r>
      <w:r w:rsidR="00100759" w:rsidRPr="00572D7D">
        <w:t>ata on your documented instructions</w:t>
      </w:r>
      <w:r w:rsidR="003E33DC" w:rsidRPr="00572D7D">
        <w:t>, unless required to process it for purposes set out by Law</w:t>
      </w:r>
      <w:r w:rsidR="00270ED1" w:rsidRPr="00572D7D">
        <w:t xml:space="preserve">, </w:t>
      </w:r>
      <w:r w:rsidR="003E33DC" w:rsidRPr="00572D7D">
        <w:t xml:space="preserve">in which case </w:t>
      </w: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3E33DC" w:rsidRPr="00572D7D">
        <w:t>will give notice unless required by law to act without these instructions</w:t>
      </w:r>
      <w:r w:rsidR="001161AF" w:rsidRPr="00572D7D">
        <w:t>.</w:t>
      </w:r>
      <w:r w:rsidR="00270ED1" w:rsidRPr="00572D7D">
        <w:t xml:space="preserve"> </w:t>
      </w:r>
      <w:r w:rsidR="001161AF" w:rsidRPr="00572D7D">
        <w:t>(Article 29 GDPR)</w:t>
      </w:r>
      <w:r w:rsidR="008D15A8" w:rsidRPr="00572D7D">
        <w:t>.</w:t>
      </w:r>
    </w:p>
    <w:p w14:paraId="5703D31C" w14:textId="120DA1D1" w:rsidR="000B1084" w:rsidRPr="00572D7D" w:rsidRDefault="004F1A72" w:rsidP="00BA7EC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3E33DC" w:rsidRPr="00572D7D">
        <w:t>will comply with the obligations of a processor under article 28</w:t>
      </w:r>
      <w:r w:rsidR="0023248A" w:rsidRPr="00572D7D">
        <w:t xml:space="preserve">(3)(b) to 28(3)(h) of the </w:t>
      </w:r>
      <w:r w:rsidR="008D15A8" w:rsidRPr="00572D7D">
        <w:t>GDPR</w:t>
      </w:r>
      <w:r w:rsidR="0023248A" w:rsidRPr="00572D7D">
        <w:t xml:space="preserve">. However,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23248A" w:rsidRPr="00572D7D">
        <w:t xml:space="preserve">may not instruct us to delete copies of data </w:t>
      </w: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23248A" w:rsidRPr="00572D7D">
        <w:t>holds as a Controller (as defined in the</w:t>
      </w:r>
      <w:r w:rsidR="008D15A8" w:rsidRPr="00572D7D">
        <w:t xml:space="preserve"> GDPR</w:t>
      </w:r>
      <w:r w:rsidR="0023248A" w:rsidRPr="00572D7D">
        <w:t>).</w:t>
      </w:r>
      <w:r w:rsidR="00BA7EC1" w:rsidRPr="00572D7D">
        <w:rPr>
          <w:rFonts w:ascii="Verdana" w:eastAsia="Times New Roman" w:hAnsi="Verdana" w:cs="Times New Roman"/>
          <w:sz w:val="23"/>
          <w:szCs w:val="23"/>
          <w:lang w:eastAsia="en-GB"/>
        </w:rPr>
        <w:t xml:space="preserve"> </w:t>
      </w:r>
    </w:p>
    <w:p w14:paraId="4B7A023C" w14:textId="307599DE" w:rsidR="00BA7EC1" w:rsidRPr="00572D7D" w:rsidRDefault="004F1A72" w:rsidP="00BA7EC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>must ensure that people processing the data are subject to a duty of confidence;</w:t>
      </w:r>
    </w:p>
    <w:p w14:paraId="22B4A738" w14:textId="2A9CAF5E" w:rsidR="00BA7EC1" w:rsidRPr="00572D7D" w:rsidRDefault="004F1A72" w:rsidP="00BA7EC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>must take appropriate measures to ensure the security of processing;</w:t>
      </w:r>
    </w:p>
    <w:p w14:paraId="2D4F6D98" w14:textId="5F14F354" w:rsidR="000B1084" w:rsidRPr="00572D7D" w:rsidRDefault="004F1A72" w:rsidP="000B1084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>must only engage a sub-processor with the prior consent of</w:t>
      </w:r>
      <w:r w:rsidR="000B1084" w:rsidRPr="00572D7D">
        <w:t xml:space="preserve">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0B1084" w:rsidRPr="00572D7D">
        <w:t>(t</w:t>
      </w:r>
      <w:r w:rsidR="00BA7EC1" w:rsidRPr="00572D7D">
        <w:t>he data controller</w:t>
      </w:r>
      <w:r w:rsidR="000B1084" w:rsidRPr="00572D7D">
        <w:t>)</w:t>
      </w:r>
      <w:r w:rsidR="00BA7EC1" w:rsidRPr="00572D7D">
        <w:t xml:space="preserve"> and a written contract;</w:t>
      </w:r>
      <w:r w:rsidR="00270ED1" w:rsidRPr="00572D7D">
        <w:t>(Article 28.2 GDPR)</w:t>
      </w:r>
    </w:p>
    <w:p w14:paraId="4BF45D5D" w14:textId="28F10BC8" w:rsidR="00BA7EC1" w:rsidRPr="00572D7D" w:rsidRDefault="004F1A72" w:rsidP="000B1084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 xml:space="preserve">must assist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0B1084" w:rsidRPr="00572D7D">
        <w:t>(t</w:t>
      </w:r>
      <w:r w:rsidR="00BA7EC1" w:rsidRPr="00572D7D">
        <w:t>he data controller</w:t>
      </w:r>
      <w:r w:rsidR="000B1084" w:rsidRPr="00572D7D">
        <w:t>)</w:t>
      </w:r>
      <w:r w:rsidR="00BA7EC1" w:rsidRPr="00572D7D">
        <w:t xml:space="preserve"> in providing subject access and allowing data subjects to exercise their rights under the GDPR;</w:t>
      </w:r>
    </w:p>
    <w:p w14:paraId="78AEA62D" w14:textId="1F3300C0" w:rsidR="00BA7EC1" w:rsidRPr="00572D7D" w:rsidRDefault="004F1A72" w:rsidP="00BA7EC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lastRenderedPageBreak/>
        <w:t>IFAC</w:t>
      </w:r>
      <w:r w:rsidR="00DF5C8A" w:rsidRPr="00572D7D">
        <w:rPr>
          <w:b/>
          <w:i/>
        </w:rPr>
        <w:t xml:space="preserve"> </w:t>
      </w:r>
      <w:r w:rsidR="00BA7EC1" w:rsidRPr="00572D7D">
        <w:t xml:space="preserve">must assist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0B1084" w:rsidRPr="00572D7D">
        <w:t>(t</w:t>
      </w:r>
      <w:r w:rsidR="00BA7EC1" w:rsidRPr="00572D7D">
        <w:t>he data controller</w:t>
      </w:r>
      <w:r w:rsidR="000B1084" w:rsidRPr="00572D7D">
        <w:t>)</w:t>
      </w:r>
      <w:r w:rsidR="00BA7EC1" w:rsidRPr="00572D7D">
        <w:t xml:space="preserve"> in meeting its GDPR obligations in relation to the security of processing, the notification of personal data breaches and data protection impact assessments;</w:t>
      </w:r>
    </w:p>
    <w:p w14:paraId="5F2A140B" w14:textId="47CE303E" w:rsidR="00BA7EC1" w:rsidRPr="00572D7D" w:rsidRDefault="004F1A72" w:rsidP="00BA7EC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 xml:space="preserve">must delete or return all personal data to the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BA7EC1" w:rsidRPr="00572D7D">
        <w:t>as requested at the end of the contract</w:t>
      </w:r>
      <w:r w:rsidR="00305EB1" w:rsidRPr="00572D7D">
        <w:t xml:space="preserve"> unless part 3.applies below</w:t>
      </w:r>
      <w:r w:rsidR="00BA7EC1" w:rsidRPr="00572D7D">
        <w:t>; and</w:t>
      </w:r>
    </w:p>
    <w:p w14:paraId="2B4B65AA" w14:textId="38CAECB5" w:rsidR="00270ED1" w:rsidRPr="00572D7D" w:rsidRDefault="004F1A72" w:rsidP="00270ED1">
      <w:pPr>
        <w:pStyle w:val="ListParagraph"/>
        <w:numPr>
          <w:ilvl w:val="3"/>
          <w:numId w:val="3"/>
        </w:num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BA7EC1" w:rsidRPr="00572D7D">
        <w:t>must submit to audits and inspections, provide</w:t>
      </w:r>
      <w:r w:rsidR="000B1084" w:rsidRPr="00572D7D">
        <w:t xml:space="preserve">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0B1084" w:rsidRPr="00572D7D">
        <w:t>(</w:t>
      </w:r>
      <w:r w:rsidR="00BA7EC1" w:rsidRPr="00572D7D">
        <w:t>the controller</w:t>
      </w:r>
      <w:r w:rsidR="000B1084" w:rsidRPr="00572D7D">
        <w:t>)</w:t>
      </w:r>
      <w:r w:rsidR="00BA7EC1" w:rsidRPr="00572D7D">
        <w:t xml:space="preserve"> with whatever information it needs to ensure that they are both meeting their Article 28 obligations, and tell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0B1084" w:rsidRPr="00572D7D">
        <w:t>(</w:t>
      </w:r>
      <w:r w:rsidR="00BA7EC1" w:rsidRPr="00572D7D">
        <w:t>the controller</w:t>
      </w:r>
      <w:r w:rsidR="000B1084" w:rsidRPr="00572D7D">
        <w:t>)</w:t>
      </w:r>
      <w:r w:rsidR="00BA7EC1" w:rsidRPr="00572D7D">
        <w:t xml:space="preserve"> immediately if it is asked to do something infringing the GDPR or other data protection law of the EU or a member state.</w:t>
      </w:r>
    </w:p>
    <w:p w14:paraId="0730EEA1" w14:textId="38A8DAA5" w:rsidR="00270ED1" w:rsidRPr="00572D7D" w:rsidRDefault="00270ED1" w:rsidP="00270ED1">
      <w:pPr>
        <w:pStyle w:val="ListParagraph"/>
        <w:numPr>
          <w:ilvl w:val="0"/>
          <w:numId w:val="2"/>
        </w:numPr>
      </w:pPr>
      <w:r w:rsidRPr="00572D7D">
        <w:t xml:space="preserve">Nothing within this contract relieves </w:t>
      </w:r>
      <w:r w:rsidR="004F1A72"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Pr="00572D7D">
        <w:t xml:space="preserve">of its own direct responsibilities and liabilities under the GDPR; </w:t>
      </w:r>
      <w:r w:rsidR="003F1AE2" w:rsidRPr="00572D7D">
        <w:t xml:space="preserve">namely that </w:t>
      </w:r>
      <w:r w:rsidR="004F1A72" w:rsidRPr="00572D7D">
        <w:rPr>
          <w:b/>
          <w:i/>
        </w:rPr>
        <w:t>IFAC</w:t>
      </w:r>
      <w:r w:rsidR="00DF62A9" w:rsidRPr="00572D7D">
        <w:t xml:space="preserve"> will</w:t>
      </w:r>
      <w:r w:rsidR="003F1AE2" w:rsidRPr="00572D7D">
        <w:t>:</w:t>
      </w:r>
    </w:p>
    <w:p w14:paraId="0D5CF171" w14:textId="634278FC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 xml:space="preserve">only act on the written instructions of the controller,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Pr="00572D7D">
        <w:t>(Article 29);</w:t>
      </w:r>
    </w:p>
    <w:p w14:paraId="474CCEE7" w14:textId="0AF0B8FE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 xml:space="preserve">not use a sub-processor without the prior written authorisation of the controller, </w:t>
      </w:r>
      <w:proofErr w:type="spellStart"/>
      <w:r w:rsidR="002E147A"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Pr="00572D7D">
        <w:t>(Article 28.2);</w:t>
      </w:r>
    </w:p>
    <w:p w14:paraId="68985B98" w14:textId="0EA87E30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>co-operate with supervisory authorities (such as the ICO) in accordance with Article 31;</w:t>
      </w:r>
    </w:p>
    <w:p w14:paraId="44BA12D3" w14:textId="0EB8E79D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>ensure the security of its processing in accordance with Article 32;</w:t>
      </w:r>
    </w:p>
    <w:p w14:paraId="54C78C7C" w14:textId="0133DB8F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>keep records of its processing activities in accordance with Article 30.2;</w:t>
      </w:r>
    </w:p>
    <w:p w14:paraId="7095122E" w14:textId="1C568712" w:rsidR="003F1AE2" w:rsidRPr="00572D7D" w:rsidRDefault="003F1AE2" w:rsidP="003F1AE2">
      <w:pPr>
        <w:pStyle w:val="ListParagraph"/>
        <w:numPr>
          <w:ilvl w:val="2"/>
          <w:numId w:val="4"/>
        </w:numPr>
      </w:pPr>
      <w:r w:rsidRPr="00572D7D">
        <w:t xml:space="preserve">notify any personal data breaches to the controller, </w:t>
      </w:r>
      <w:proofErr w:type="spellStart"/>
      <w:r w:rsidR="002E147A">
        <w:rPr>
          <w:b/>
          <w:i/>
        </w:rPr>
        <w:t>Yourfirmname</w:t>
      </w:r>
      <w:proofErr w:type="spellEnd"/>
      <w:r w:rsidRPr="00572D7D">
        <w:t>, in accordance with Article 33;</w:t>
      </w:r>
    </w:p>
    <w:p w14:paraId="7B3F422B" w14:textId="08F2C2E4" w:rsidR="00270ED1" w:rsidRPr="00572D7D" w:rsidRDefault="003F1AE2" w:rsidP="00270ED1">
      <w:pPr>
        <w:pStyle w:val="ListParagraph"/>
        <w:numPr>
          <w:ilvl w:val="0"/>
          <w:numId w:val="2"/>
        </w:numPr>
      </w:pPr>
      <w:r w:rsidRPr="00572D7D">
        <w:t xml:space="preserve">This </w:t>
      </w:r>
      <w:r w:rsidR="009912BC" w:rsidRPr="00572D7D">
        <w:t>amended contract</w:t>
      </w:r>
      <w:r w:rsidRPr="00572D7D">
        <w:t xml:space="preserve"> re</w:t>
      </w:r>
      <w:r w:rsidR="00270ED1" w:rsidRPr="00572D7D">
        <w:t>flect</w:t>
      </w:r>
      <w:r w:rsidRPr="00572D7D">
        <w:t>s</w:t>
      </w:r>
      <w:r w:rsidR="00270ED1" w:rsidRPr="00572D7D">
        <w:t xml:space="preserve"> any indemnity that has been agreed.</w:t>
      </w:r>
    </w:p>
    <w:p w14:paraId="114FEE90" w14:textId="49B36FF9" w:rsidR="003F1AE2" w:rsidRPr="00572D7D" w:rsidRDefault="004F1A72" w:rsidP="003F1AE2">
      <w:pPr>
        <w:rPr>
          <w:b/>
        </w:rPr>
      </w:pPr>
      <w:r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3F1AE2" w:rsidRPr="00572D7D">
        <w:rPr>
          <w:b/>
        </w:rPr>
        <w:t>is aware that:</w:t>
      </w:r>
    </w:p>
    <w:p w14:paraId="497A1D79" w14:textId="77777777" w:rsidR="007F6277" w:rsidRPr="00572D7D" w:rsidRDefault="003F1AE2" w:rsidP="007F6277">
      <w:pPr>
        <w:pStyle w:val="ListParagraph"/>
        <w:numPr>
          <w:ilvl w:val="0"/>
          <w:numId w:val="6"/>
        </w:numPr>
      </w:pPr>
      <w:r w:rsidRPr="00572D7D">
        <w:t>it may be subject to investigative and corrective powers of supervisory authorities (such as the ICO) under Article 58 of the GDPR;</w:t>
      </w:r>
    </w:p>
    <w:p w14:paraId="101666B7" w14:textId="77777777" w:rsidR="007F6277" w:rsidRPr="00572D7D" w:rsidRDefault="003F1AE2" w:rsidP="007F6277">
      <w:pPr>
        <w:pStyle w:val="ListParagraph"/>
        <w:numPr>
          <w:ilvl w:val="0"/>
          <w:numId w:val="6"/>
        </w:numPr>
      </w:pPr>
      <w:r w:rsidRPr="00572D7D">
        <w:t>if it fails to meet its obligations, it may be subject to an administrative fine under Article 83 of the GDPR;</w:t>
      </w:r>
    </w:p>
    <w:p w14:paraId="36AD9C09" w14:textId="77777777" w:rsidR="007F6277" w:rsidRPr="00572D7D" w:rsidRDefault="003F1AE2" w:rsidP="007F6277">
      <w:pPr>
        <w:pStyle w:val="ListParagraph"/>
        <w:numPr>
          <w:ilvl w:val="0"/>
          <w:numId w:val="6"/>
        </w:numPr>
      </w:pPr>
      <w:r w:rsidRPr="00572D7D">
        <w:t>if it fails to meet its GDPR obligations it may be subject to a penalty under Article 84 of the GDPR; and</w:t>
      </w:r>
    </w:p>
    <w:p w14:paraId="682BF1CC" w14:textId="4535A953" w:rsidR="007F6277" w:rsidRPr="00572D7D" w:rsidRDefault="003F1AE2" w:rsidP="007F6277">
      <w:pPr>
        <w:pStyle w:val="ListParagraph"/>
        <w:numPr>
          <w:ilvl w:val="0"/>
          <w:numId w:val="6"/>
        </w:numPr>
      </w:pPr>
      <w:r w:rsidRPr="00572D7D">
        <w:t>if it fails to meet its GDPR obligations it may have to pay compensation under Article 82 of the GDPR.</w:t>
      </w:r>
    </w:p>
    <w:p w14:paraId="6EC039B4" w14:textId="3900D9CA" w:rsidR="00F56E34" w:rsidRPr="00572D7D" w:rsidRDefault="002E147A" w:rsidP="007F6277">
      <w:proofErr w:type="spellStart"/>
      <w:r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7F6277" w:rsidRPr="00572D7D">
        <w:t>c</w:t>
      </w:r>
      <w:r w:rsidR="0044151A" w:rsidRPr="00572D7D">
        <w:t xml:space="preserve">onfirm that any supplied data provided to </w:t>
      </w:r>
      <w:r w:rsidR="004F1A72" w:rsidRPr="00572D7D">
        <w:rPr>
          <w:b/>
          <w:i/>
        </w:rPr>
        <w:t>IFAC</w:t>
      </w:r>
      <w:r w:rsidR="00DF5C8A" w:rsidRPr="00572D7D">
        <w:rPr>
          <w:b/>
          <w:i/>
        </w:rPr>
        <w:t xml:space="preserve"> </w:t>
      </w:r>
      <w:r w:rsidR="0044151A" w:rsidRPr="00572D7D">
        <w:t xml:space="preserve"> by </w:t>
      </w:r>
      <w:proofErr w:type="spellStart"/>
      <w:r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44151A" w:rsidRPr="00572D7D">
        <w:t xml:space="preserve">on </w:t>
      </w:r>
      <w:proofErr w:type="spellStart"/>
      <w:r>
        <w:rPr>
          <w:b/>
          <w:i/>
        </w:rPr>
        <w:t>Yourfirmname</w:t>
      </w:r>
      <w:r w:rsidR="0044151A" w:rsidRPr="00572D7D">
        <w:t>’s</w:t>
      </w:r>
      <w:proofErr w:type="spellEnd"/>
      <w:r w:rsidR="0044151A" w:rsidRPr="00572D7D">
        <w:t xml:space="preserve"> behalf</w:t>
      </w:r>
      <w:r w:rsidR="007F6277" w:rsidRPr="00572D7D">
        <w:t xml:space="preserve"> has been collected and disclosed in accordance with Data Protection Legislation. When using </w:t>
      </w:r>
      <w:r w:rsidR="004F1A72" w:rsidRPr="00572D7D">
        <w:rPr>
          <w:b/>
          <w:i/>
        </w:rPr>
        <w:t>IFAC</w:t>
      </w:r>
      <w:r w:rsidR="007F6277" w:rsidRPr="00572D7D">
        <w:t xml:space="preserve">’s products and services, </w:t>
      </w:r>
      <w:proofErr w:type="spellStart"/>
      <w:r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7F6277" w:rsidRPr="00572D7D">
        <w:t xml:space="preserve">will take reasonable steps to ensure that </w:t>
      </w:r>
      <w:proofErr w:type="spellStart"/>
      <w:r>
        <w:rPr>
          <w:b/>
          <w:i/>
        </w:rPr>
        <w:t>Yourfirmname</w:t>
      </w:r>
      <w:proofErr w:type="spellEnd"/>
      <w:r w:rsidR="00DF5C8A" w:rsidRPr="00572D7D">
        <w:rPr>
          <w:b/>
          <w:i/>
        </w:rPr>
        <w:t xml:space="preserve"> </w:t>
      </w:r>
      <w:r w:rsidR="007F6277" w:rsidRPr="00572D7D">
        <w:t>and its employees, agents and contractors do not input, upload or disclose to us any irrelevant or unnecessary information about individuals.</w:t>
      </w:r>
      <w:bookmarkEnd w:id="0"/>
    </w:p>
    <w:sectPr w:rsidR="00F56E34" w:rsidRPr="00572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143D"/>
    <w:multiLevelType w:val="hybridMultilevel"/>
    <w:tmpl w:val="00F298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24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752866"/>
    <w:multiLevelType w:val="hybridMultilevel"/>
    <w:tmpl w:val="07BE56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261802"/>
    <w:multiLevelType w:val="hybridMultilevel"/>
    <w:tmpl w:val="53A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B58C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73A2C2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34"/>
    <w:rsid w:val="00013EA3"/>
    <w:rsid w:val="000B1084"/>
    <w:rsid w:val="00100759"/>
    <w:rsid w:val="00102396"/>
    <w:rsid w:val="001161AF"/>
    <w:rsid w:val="00133F37"/>
    <w:rsid w:val="0023248A"/>
    <w:rsid w:val="00270ED1"/>
    <w:rsid w:val="002822D2"/>
    <w:rsid w:val="002D7E4E"/>
    <w:rsid w:val="002E147A"/>
    <w:rsid w:val="00305EB1"/>
    <w:rsid w:val="00316F69"/>
    <w:rsid w:val="003E33DC"/>
    <w:rsid w:val="003F1AE2"/>
    <w:rsid w:val="0044151A"/>
    <w:rsid w:val="004F1A72"/>
    <w:rsid w:val="00572D7D"/>
    <w:rsid w:val="00580616"/>
    <w:rsid w:val="005A6831"/>
    <w:rsid w:val="00684309"/>
    <w:rsid w:val="00730931"/>
    <w:rsid w:val="007E0B6D"/>
    <w:rsid w:val="007F6277"/>
    <w:rsid w:val="00855C8E"/>
    <w:rsid w:val="00893E80"/>
    <w:rsid w:val="008D15A8"/>
    <w:rsid w:val="008D3FE0"/>
    <w:rsid w:val="00935F66"/>
    <w:rsid w:val="009912BC"/>
    <w:rsid w:val="00A56E79"/>
    <w:rsid w:val="00AC3CD5"/>
    <w:rsid w:val="00B70D88"/>
    <w:rsid w:val="00BA7EC1"/>
    <w:rsid w:val="00C84CA1"/>
    <w:rsid w:val="00CD1451"/>
    <w:rsid w:val="00D3425F"/>
    <w:rsid w:val="00D40B96"/>
    <w:rsid w:val="00DD6ACF"/>
    <w:rsid w:val="00DF5C8A"/>
    <w:rsid w:val="00DF62A9"/>
    <w:rsid w:val="00E10EC3"/>
    <w:rsid w:val="00EC4843"/>
    <w:rsid w:val="00EC4BD5"/>
    <w:rsid w:val="00F56E34"/>
    <w:rsid w:val="00F6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5C70"/>
  <w15:chartTrackingRefBased/>
  <w15:docId w15:val="{BD7FE713-1314-4525-B952-59871D78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6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E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6E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6E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C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62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2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2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2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  s t a n d a l o n e = " y e s " ? > < D i c t i o n a r y   S a v e d B y V e r s i o n = " 7 . 3 . 7 6 3 5 . 0 "   M i n i m u m V e r s i o n = " 7 . 2 . 0 . 0 "   x m l n s = " h t t p : / / s c h e m a s . b u s i n e s s - i n t e g r i t y . c o m / d e a l b u i l d e r / 2 0 0 6 / d i c t i o n a r y " > < Q u e s t i o n n a i r e P a g e > < Q u e s t i o n n a i r e G r o u p > < Q u e s t i o n n a i r e V a r i a b l e   N a m e = " Y o u r F i r m N a m e " / > < Q u e s t i o n n a i r e V a r i a b l e   N a m e = " R e g i s t e r e d O f f i c e A d d r e s s 1 " / > < Q u e s t i o n n a i r e V a r i a b l e   N a m e = " O t h e r F i r m N a m e " / > < Q u e s t i o n n a i r e V a r i a b l e   N a m e = " R e g i s t e r e d O f f i c e A d d r e s s 2 " / > < Q u e s t i o n n a i r e V a r i a b l e   N a m e = " P r o d u c t I n f o " / > < / Q u e s t i o n n a i r e G r o u p > < / Q u e s t i o n n a i r e P a g e > < V a r i a b l e   E x t e r n a l S o u r c e = " T h i r d   P a r t y   P r o c e s s o r s   C o n t r a c t   P r o - f o r m a "   N a m e = " Y o u r F i r m N a m e "   D a t a T y p e = " S t r i n g " > < P r o m p t > W h a t   i s   y o u r   f i r m & a m p ; # 3 9 ; s   n a m e ? < / P r o m p t > < / V a r i a b l e > < V a r i a b l e   E x t e r n a l S o u r c e = " T h i r d   P a r t y   P r o c e s s o r s   C o n t r a c t   P r o - f o r m a "   N a m e = " R e g i s t e r e d O f f i c e A d d r e s s 1 "   D a t a T y p e = " S t r i n g " > < P r o m p t > W h a t   i s   t h e   r e g i s t e r e d   o f f i c e   a d d r e s s   o f   y o u r   f i r m ? < / P r o m p t > < G u i d a n c e > e . g .   S t r e e t ,   T o w n ,   C o u n t y ,   P o s t c o d e < / G u i d a n c e > < / V a r i a b l e > < V a r i a b l e   E x t e r n a l S o u r c e = " T h i r d   P a r t y   P r o c e s s o r s   C o n t r a c t   P r o - f o r m a "   N a m e = " O t h e r F i r m N a m e "   D a t a T y p e = " S t r i n g " > < P r o m p t > W h a t   i s   t h e   f i r m & a m p ; # 3 9 ; s   n a m e   y o u   a r e   e n t e r i n g   i n t o   t h e   c o n t r a c t   w i t h ? < / P r o m p t > < / V a r i a b l e > < V a r i a b l e   E x t e r n a l S o u r c e = " T h i r d   P a r t y   P r o c e s s o r s   C o n t r a c t   P r o - f o r m a "   N a m e = " R e g i s t e r e d O f f i c e A d d r e s s 2 "   D a t a T y p e = " S t r i n g " > < P r o m p t > W h a t   i s   t h e   r e g i s t e r e d   o f f i c e   a d d r e s s   o f   t h e   f i r m   y o u   a r e   e n t e r i n g   i n t o   t h e   c o n t r a c t   w i t h ? < / P r o m p t > < G u i d a n c e > e . g .   S t r e e t ,   T o w n ,   C o u n t y ,   P o s t c o d e < / G u i d a n c e > < / V a r i a b l e > < V a r i a b l e   E x t e r n a l S o u r c e = " T h i r d   P a r t y   P r o c e s s o r s   C o n t r a c t   P r o - f o r m a "   N a m e = " P r o d u c t I n f o "   D a t a T y p e = " S t r i n g " > < P r o m p t > P l e a s e   c o m p l e t e   n a t u r e   o f   s e r v i c e s ,   n a m e   o f   p r o d u c t   a n d   p r o d u c t   i n f o r m a t i o n . < / P r o m p t > < G u i d a n c e > P l e a s e   c o m p l e t e   t h e   s e n t e n c e : & l t ; P & g t ; T h e   s u b j e c t   m a t t e r ,   n a t u r e ,   p u r p o s e   a n d   d u r a t i o n   o f   t h e   s u p p l i e d   p e r s o n a l   d a t a   p r o c e s s i n g   i s   f o r . . . & l t ; / P & g t ; < / G u i d a n c e > < / V a r i a b l e > < E x t e r n a l L i n k   S o u r c e = " h t t p s : / / e u 1 . c o n t r a c t e x p r e s s . c o m / a p p / "   T e m p l a t e R e f e r e n c e = " T h i r d   P a r t y   P r o c e s s o r s   C o n t r a c t   P r o - f o r m a "   L a s t U p d a t e d = " 2 0 1 8 - 0 4 - 1 6 T 1 3 : 0 9 : 2 9 . 4 9 4 8 1 1 Z " / > < / D i c t i o n a r y > 
</file>

<file path=customXml/itemProps1.xml><?xml version="1.0" encoding="utf-8"?>
<ds:datastoreItem xmlns:ds="http://schemas.openxmlformats.org/officeDocument/2006/customXml" ds:itemID="{A93BFF9F-5637-4AD0-93E5-BB5D812253B6}">
  <ds:schemaRefs>
    <ds:schemaRef ds:uri="http://schemas.business-integrity.com/dealbuilder/2006/dictiona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2018-04-19T10:44:00Z</cp:lastPrinted>
  <dcterms:created xsi:type="dcterms:W3CDTF">2018-04-27T07:15:00Z</dcterms:created>
  <dcterms:modified xsi:type="dcterms:W3CDTF">2018-04-27T07:16:00Z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_field_brackets">
    <vt:lpwstr>{}</vt:lpwstr>
  </property>
  <property fmtid="{D5CDD505-2E9C-101B-9397-08002B2CF9AE}" pid="3" name="db_span_brackets">
    <vt:lpwstr>[]</vt:lpwstr>
  </property>
  <property fmtid="{D5CDD505-2E9C-101B-9397-08002B2CF9AE}" pid="4" name="db_template_reference">
    <vt:lpwstr>Sample Contract Ammendments for processors</vt:lpwstr>
  </property>
</Properties>
</file>